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066" w:rsidRDefault="00971066" w:rsidP="00971066">
      <w:pPr>
        <w:pStyle w:val="Default"/>
        <w:spacing w:line="300" w:lineRule="atLeast"/>
        <w:jc w:val="right"/>
        <w:rPr>
          <w:rFonts w:asciiTheme="minorHAnsi" w:hAnsiTheme="minorHAnsi"/>
          <w:b/>
          <w:bCs/>
          <w:sz w:val="22"/>
          <w:szCs w:val="22"/>
        </w:rPr>
      </w:pPr>
      <w:r>
        <w:rPr>
          <w:rFonts w:asciiTheme="minorHAnsi" w:hAnsiTheme="minorHAnsi"/>
          <w:b/>
          <w:bCs/>
          <w:sz w:val="22"/>
          <w:szCs w:val="22"/>
        </w:rPr>
        <w:t>ATTACHMENT D</w:t>
      </w:r>
      <w:bookmarkStart w:id="0" w:name="_GoBack"/>
      <w:bookmarkEnd w:id="0"/>
    </w:p>
    <w:p w:rsidR="00971066" w:rsidRDefault="00971066" w:rsidP="000F6DF2">
      <w:pPr>
        <w:pStyle w:val="Default"/>
        <w:spacing w:line="300" w:lineRule="atLeast"/>
        <w:rPr>
          <w:rFonts w:asciiTheme="minorHAnsi" w:hAnsiTheme="minorHAnsi"/>
          <w:b/>
          <w:bCs/>
          <w:sz w:val="22"/>
          <w:szCs w:val="22"/>
        </w:rPr>
      </w:pPr>
    </w:p>
    <w:p w:rsidR="00A05915" w:rsidRPr="000F6DF2" w:rsidRDefault="000F6DF2" w:rsidP="000F6DF2">
      <w:pPr>
        <w:pStyle w:val="Default"/>
        <w:spacing w:line="300" w:lineRule="atLeast"/>
        <w:rPr>
          <w:rFonts w:asciiTheme="minorHAnsi" w:hAnsiTheme="minorHAnsi"/>
          <w:sz w:val="22"/>
          <w:szCs w:val="22"/>
        </w:rPr>
      </w:pPr>
      <w:r>
        <w:rPr>
          <w:rFonts w:asciiTheme="minorHAnsi" w:hAnsiTheme="minorHAnsi"/>
          <w:b/>
          <w:bCs/>
          <w:sz w:val="22"/>
          <w:szCs w:val="22"/>
        </w:rPr>
        <w:t>Section 15</w:t>
      </w:r>
      <w:r w:rsidR="00A05915" w:rsidRPr="000F6DF2">
        <w:rPr>
          <w:rFonts w:asciiTheme="minorHAnsi" w:hAnsiTheme="minorHAnsi"/>
          <w:b/>
          <w:bCs/>
          <w:sz w:val="22"/>
          <w:szCs w:val="22"/>
        </w:rPr>
        <w:t xml:space="preserve"> – Status Report on US Government Activities Related to Conformity Assessment </w:t>
      </w:r>
    </w:p>
    <w:p w:rsidR="00994F14" w:rsidRDefault="000F6DF2" w:rsidP="000F6DF2">
      <w:pPr>
        <w:spacing w:line="300" w:lineRule="atLeast"/>
        <w:rPr>
          <w:rFonts w:asciiTheme="minorHAnsi" w:hAnsiTheme="minorHAnsi"/>
        </w:rPr>
      </w:pPr>
      <w:r>
        <w:rPr>
          <w:rFonts w:asciiTheme="minorHAnsi" w:hAnsiTheme="minorHAnsi"/>
        </w:rPr>
        <w:t>Amy Phelps, NIST Computer Scientist</w:t>
      </w:r>
    </w:p>
    <w:p w:rsidR="000F6DF2" w:rsidRDefault="000F6DF2" w:rsidP="000F6DF2">
      <w:pPr>
        <w:spacing w:line="300" w:lineRule="atLeast"/>
        <w:rPr>
          <w:rFonts w:asciiTheme="minorHAnsi" w:hAnsiTheme="minorHAnsi"/>
        </w:rPr>
      </w:pPr>
      <w:r>
        <w:rPr>
          <w:rFonts w:asciiTheme="minorHAnsi" w:hAnsiTheme="minorHAnsi"/>
        </w:rPr>
        <w:t>USNC CAPCC Meeting - January 12, 2016</w:t>
      </w:r>
    </w:p>
    <w:p w:rsidR="000F6DF2" w:rsidRPr="000F6DF2" w:rsidRDefault="000F6DF2" w:rsidP="000F6DF2">
      <w:pPr>
        <w:spacing w:line="300" w:lineRule="atLeast"/>
        <w:rPr>
          <w:rFonts w:asciiTheme="minorHAnsi" w:hAnsiTheme="minorHAnsi"/>
        </w:rPr>
      </w:pPr>
    </w:p>
    <w:p w:rsidR="00074636" w:rsidRPr="000F6DF2" w:rsidRDefault="00074636" w:rsidP="000F6DF2">
      <w:pPr>
        <w:pStyle w:val="ListParagraph"/>
        <w:numPr>
          <w:ilvl w:val="0"/>
          <w:numId w:val="3"/>
        </w:numPr>
        <w:spacing w:line="300" w:lineRule="atLeast"/>
        <w:ind w:left="360"/>
        <w:rPr>
          <w:rFonts w:asciiTheme="minorHAnsi" w:hAnsiTheme="minorHAnsi"/>
          <w:b/>
          <w:lang w:val="en"/>
        </w:rPr>
      </w:pPr>
      <w:r w:rsidRPr="000F6DF2">
        <w:rPr>
          <w:rFonts w:asciiTheme="minorHAnsi" w:hAnsiTheme="minorHAnsi"/>
          <w:b/>
        </w:rPr>
        <w:t xml:space="preserve">OMB Circular A-119 - </w:t>
      </w:r>
      <w:r w:rsidRPr="000F6DF2">
        <w:rPr>
          <w:rFonts w:asciiTheme="minorHAnsi" w:hAnsiTheme="minorHAnsi"/>
          <w:b/>
          <w:lang w:val="en"/>
        </w:rPr>
        <w:t>Federal Participation in the Development and Use of Voluntary Consensus Standards and in Conformity Assessment Activities</w:t>
      </w:r>
    </w:p>
    <w:p w:rsidR="00074636" w:rsidRPr="000F6DF2" w:rsidRDefault="00074636" w:rsidP="000F6DF2">
      <w:pPr>
        <w:pStyle w:val="ListParagraph"/>
        <w:spacing w:line="300" w:lineRule="atLeast"/>
        <w:ind w:left="360"/>
        <w:rPr>
          <w:rFonts w:asciiTheme="minorHAnsi" w:hAnsiTheme="minorHAnsi"/>
          <w:lang w:val="en"/>
        </w:rPr>
      </w:pPr>
      <w:r w:rsidRPr="000F6DF2">
        <w:rPr>
          <w:rFonts w:asciiTheme="minorHAnsi" w:hAnsiTheme="minorHAnsi"/>
          <w:lang w:val="en"/>
        </w:rPr>
        <w:t>As brief background, the policies of OMB Circular A-119 are intended to: (1) encourage federal agencies to benefit from the expertise of the private sector; (2) promote federal agency participation in such bodies to ensure creation of standards that are useable by federal agencies; and (3) reduce reliance on government-unique standards where an existing voluntary standard would suffice.  OMB is currently working to revise Circular A-119.  The revised Circular is anticipated to be published sometime in the near future.</w:t>
      </w:r>
    </w:p>
    <w:p w:rsidR="00074636" w:rsidRPr="000F6DF2" w:rsidRDefault="00074636" w:rsidP="000F6DF2">
      <w:pPr>
        <w:spacing w:line="300" w:lineRule="atLeast"/>
        <w:rPr>
          <w:rFonts w:asciiTheme="minorHAnsi" w:hAnsiTheme="minorHAnsi"/>
        </w:rPr>
      </w:pPr>
    </w:p>
    <w:p w:rsidR="00074636" w:rsidRPr="000F6DF2" w:rsidRDefault="00074636" w:rsidP="000F6DF2">
      <w:pPr>
        <w:pStyle w:val="ListParagraph"/>
        <w:numPr>
          <w:ilvl w:val="0"/>
          <w:numId w:val="3"/>
        </w:numPr>
        <w:spacing w:line="300" w:lineRule="atLeast"/>
        <w:ind w:left="360"/>
        <w:rPr>
          <w:rFonts w:asciiTheme="minorHAnsi" w:hAnsiTheme="minorHAnsi"/>
          <w:b/>
        </w:rPr>
      </w:pPr>
      <w:r w:rsidRPr="000F6DF2">
        <w:rPr>
          <w:rFonts w:asciiTheme="minorHAnsi" w:hAnsiTheme="minorHAnsi"/>
          <w:b/>
        </w:rPr>
        <w:t>NIST Guidance on Conformity Assessment</w:t>
      </w:r>
    </w:p>
    <w:p w:rsidR="00074636" w:rsidRPr="000F6DF2" w:rsidRDefault="00074636" w:rsidP="000F6DF2">
      <w:pPr>
        <w:spacing w:line="300" w:lineRule="atLeast"/>
        <w:ind w:left="360"/>
        <w:rPr>
          <w:rFonts w:asciiTheme="minorHAnsi" w:hAnsiTheme="minorHAnsi"/>
        </w:rPr>
      </w:pPr>
      <w:r w:rsidRPr="000F6DF2">
        <w:rPr>
          <w:rFonts w:asciiTheme="minorHAnsi" w:hAnsiTheme="minorHAnsi"/>
        </w:rPr>
        <w:t>NIST currently provides guidance on the use of conformity assessment activities (15 CFR Part 287).  Once the revisions to OMB Circular A-119 are finalized and published, NIST will begin working to provide a revised Guidance document.</w:t>
      </w:r>
    </w:p>
    <w:p w:rsidR="00074636" w:rsidRPr="000F6DF2" w:rsidRDefault="00074636" w:rsidP="000F6DF2">
      <w:pPr>
        <w:spacing w:line="300" w:lineRule="atLeast"/>
        <w:ind w:left="360"/>
        <w:rPr>
          <w:rFonts w:asciiTheme="minorHAnsi" w:hAnsiTheme="minorHAnsi"/>
        </w:rPr>
      </w:pPr>
    </w:p>
    <w:p w:rsidR="00074636" w:rsidRPr="000F6DF2" w:rsidRDefault="000F6DF2" w:rsidP="000F6DF2">
      <w:pPr>
        <w:pStyle w:val="ListParagraph"/>
        <w:numPr>
          <w:ilvl w:val="0"/>
          <w:numId w:val="3"/>
        </w:numPr>
        <w:spacing w:line="300" w:lineRule="atLeast"/>
        <w:ind w:left="360"/>
        <w:rPr>
          <w:rFonts w:asciiTheme="minorHAnsi" w:hAnsiTheme="minorHAnsi"/>
          <w:b/>
        </w:rPr>
      </w:pPr>
      <w:r w:rsidRPr="000F6DF2">
        <w:rPr>
          <w:rFonts w:asciiTheme="minorHAnsi" w:hAnsiTheme="minorHAnsi"/>
          <w:b/>
        </w:rPr>
        <w:t>Interagency Committee on Standards Policy (ICSP) Conformity Assessment Workgroup (CAWG)</w:t>
      </w:r>
    </w:p>
    <w:p w:rsidR="000F6DF2" w:rsidRPr="000F6DF2" w:rsidRDefault="000F6DF2" w:rsidP="000F6DF2">
      <w:pPr>
        <w:pStyle w:val="ListParagraph"/>
        <w:spacing w:line="300" w:lineRule="atLeast"/>
        <w:ind w:left="360"/>
        <w:rPr>
          <w:rFonts w:asciiTheme="minorHAnsi" w:hAnsiTheme="minorHAnsi" w:cs="Calibri"/>
          <w:color w:val="000000"/>
        </w:rPr>
      </w:pPr>
      <w:r w:rsidRPr="000F6DF2">
        <w:rPr>
          <w:rFonts w:asciiTheme="minorHAnsi" w:hAnsiTheme="minorHAnsi"/>
        </w:rPr>
        <w:t xml:space="preserve">NIST has coordinated with the ICSP to establish an ICSP task group, the Conformity Assessment Workgroup (CAWG).  The objective of the CAWG </w:t>
      </w:r>
      <w:r w:rsidRPr="000F6DF2">
        <w:rPr>
          <w:rFonts w:asciiTheme="minorHAnsi" w:hAnsiTheme="minorHAnsi"/>
          <w:color w:val="000000"/>
          <w:lang w:val="en"/>
        </w:rPr>
        <w:t xml:space="preserve">is to facilitate coordination of government agency activities and develop recommendations relating to conformity assessment policy matters to the ICSP.  Participants include representatives across federal agencies with expertise in the development and implementation of conformity assessment programs. </w:t>
      </w:r>
      <w:r w:rsidRPr="000F6DF2">
        <w:rPr>
          <w:rFonts w:asciiTheme="minorHAnsi" w:hAnsiTheme="minorHAnsi" w:cs="Calibri"/>
          <w:color w:val="000000"/>
        </w:rPr>
        <w:t xml:space="preserve">The CAWG is responsible for the following: </w:t>
      </w:r>
    </w:p>
    <w:p w:rsidR="000F6DF2" w:rsidRPr="000F6DF2" w:rsidRDefault="000F6DF2" w:rsidP="000F6DF2">
      <w:pPr>
        <w:pStyle w:val="ListParagraph"/>
        <w:numPr>
          <w:ilvl w:val="0"/>
          <w:numId w:val="5"/>
        </w:numPr>
        <w:autoSpaceDE w:val="0"/>
        <w:autoSpaceDN w:val="0"/>
        <w:adjustRightInd w:val="0"/>
        <w:spacing w:line="300" w:lineRule="atLeast"/>
        <w:rPr>
          <w:rFonts w:asciiTheme="minorHAnsi" w:hAnsiTheme="minorHAnsi" w:cs="Calibri"/>
          <w:color w:val="000000"/>
        </w:rPr>
      </w:pPr>
      <w:r w:rsidRPr="000F6DF2">
        <w:rPr>
          <w:rFonts w:asciiTheme="minorHAnsi" w:hAnsiTheme="minorHAnsi" w:cs="Calibri"/>
          <w:color w:val="000000"/>
        </w:rPr>
        <w:t xml:space="preserve">Assisting the ICSP in promoting effective and consistent federal policies in the area of conformity assessment; </w:t>
      </w:r>
    </w:p>
    <w:p w:rsidR="000F6DF2" w:rsidRPr="000F6DF2" w:rsidRDefault="000F6DF2" w:rsidP="000F6DF2">
      <w:pPr>
        <w:pStyle w:val="ListParagraph"/>
        <w:numPr>
          <w:ilvl w:val="0"/>
          <w:numId w:val="5"/>
        </w:numPr>
        <w:autoSpaceDE w:val="0"/>
        <w:autoSpaceDN w:val="0"/>
        <w:adjustRightInd w:val="0"/>
        <w:spacing w:line="300" w:lineRule="atLeast"/>
        <w:rPr>
          <w:rFonts w:asciiTheme="minorHAnsi" w:hAnsiTheme="minorHAnsi" w:cs="Calibri"/>
          <w:color w:val="000000"/>
        </w:rPr>
      </w:pPr>
      <w:r w:rsidRPr="000F6DF2">
        <w:rPr>
          <w:rFonts w:asciiTheme="minorHAnsi" w:hAnsiTheme="minorHAnsi" w:cs="Calibri"/>
          <w:color w:val="000000"/>
        </w:rPr>
        <w:t xml:space="preserve">Advising the ICSP on effective means of coordinating conformity assessment activities with those of the private sector and recommending ways to eliminate unnecessary duplication and complexity in the development and promulgation of conformity assessment requirements at the federal level; and </w:t>
      </w:r>
    </w:p>
    <w:p w:rsidR="000F6DF2" w:rsidRPr="000F6DF2" w:rsidRDefault="000F6DF2" w:rsidP="000F6DF2">
      <w:pPr>
        <w:pStyle w:val="ListParagraph"/>
        <w:numPr>
          <w:ilvl w:val="0"/>
          <w:numId w:val="5"/>
        </w:numPr>
        <w:autoSpaceDE w:val="0"/>
        <w:autoSpaceDN w:val="0"/>
        <w:adjustRightInd w:val="0"/>
        <w:spacing w:line="300" w:lineRule="atLeast"/>
        <w:rPr>
          <w:rFonts w:asciiTheme="minorHAnsi" w:hAnsiTheme="minorHAnsi" w:cs="Calibri"/>
          <w:color w:val="000000"/>
        </w:rPr>
      </w:pPr>
      <w:r w:rsidRPr="000F6DF2">
        <w:rPr>
          <w:rFonts w:asciiTheme="minorHAnsi" w:hAnsiTheme="minorHAnsi" w:cs="Calibri"/>
          <w:color w:val="000000"/>
        </w:rPr>
        <w:t xml:space="preserve">Sharing best practices in conformity assessment among federal agencies. </w:t>
      </w:r>
    </w:p>
    <w:p w:rsidR="000F6DF2" w:rsidRPr="000F6DF2" w:rsidRDefault="000F6DF2" w:rsidP="000F6DF2">
      <w:pPr>
        <w:autoSpaceDE w:val="0"/>
        <w:autoSpaceDN w:val="0"/>
        <w:adjustRightInd w:val="0"/>
        <w:rPr>
          <w:rFonts w:cs="Calibri"/>
          <w:color w:val="000000"/>
        </w:rPr>
      </w:pPr>
    </w:p>
    <w:p w:rsidR="000F6DF2" w:rsidRPr="00074636" w:rsidRDefault="000F6DF2" w:rsidP="000F6DF2">
      <w:pPr>
        <w:pStyle w:val="ListParagraph"/>
        <w:ind w:left="360"/>
      </w:pPr>
    </w:p>
    <w:p w:rsidR="00A05915" w:rsidRDefault="00A05915"/>
    <w:sectPr w:rsidR="00A059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63C4D"/>
    <w:multiLevelType w:val="hybridMultilevel"/>
    <w:tmpl w:val="B92EAE1A"/>
    <w:lvl w:ilvl="0" w:tplc="3836C0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6C7161"/>
    <w:multiLevelType w:val="hybridMultilevel"/>
    <w:tmpl w:val="CBF0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034C54"/>
    <w:multiLevelType w:val="hybridMultilevel"/>
    <w:tmpl w:val="C21E7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CB0327"/>
    <w:multiLevelType w:val="hybridMultilevel"/>
    <w:tmpl w:val="0B7E50F2"/>
    <w:lvl w:ilvl="0" w:tplc="555E520C">
      <w:start w:val="1"/>
      <w:numFmt w:val="decimal"/>
      <w:lvlText w:val="%1."/>
      <w:lvlJc w:val="left"/>
      <w:pPr>
        <w:ind w:left="360" w:hanging="360"/>
      </w:pPr>
      <w:rPr>
        <w:rFonts w:ascii="Calibri" w:hAnsi="Calibri" w:cs="Times New Roman" w:hint="default"/>
        <w:color w:val="1F497D"/>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915"/>
    <w:rsid w:val="00074636"/>
    <w:rsid w:val="000F6DF2"/>
    <w:rsid w:val="00971066"/>
    <w:rsid w:val="00994F14"/>
    <w:rsid w:val="00A05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63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5915"/>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074636"/>
    <w:pPr>
      <w:ind w:left="720"/>
    </w:pPr>
  </w:style>
  <w:style w:type="paragraph" w:styleId="NormalWeb">
    <w:name w:val="Normal (Web)"/>
    <w:basedOn w:val="Normal"/>
    <w:uiPriority w:val="99"/>
    <w:semiHidden/>
    <w:unhideWhenUsed/>
    <w:rsid w:val="000F6DF2"/>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636"/>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5915"/>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074636"/>
    <w:pPr>
      <w:ind w:left="720"/>
    </w:pPr>
  </w:style>
  <w:style w:type="paragraph" w:styleId="NormalWeb">
    <w:name w:val="Normal (Web)"/>
    <w:basedOn w:val="Normal"/>
    <w:uiPriority w:val="99"/>
    <w:semiHidden/>
    <w:unhideWhenUsed/>
    <w:rsid w:val="000F6DF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489765">
      <w:bodyDiv w:val="1"/>
      <w:marLeft w:val="0"/>
      <w:marRight w:val="0"/>
      <w:marTop w:val="0"/>
      <w:marBottom w:val="0"/>
      <w:divBdr>
        <w:top w:val="none" w:sz="0" w:space="0" w:color="auto"/>
        <w:left w:val="none" w:sz="0" w:space="0" w:color="auto"/>
        <w:bottom w:val="none" w:sz="0" w:space="0" w:color="auto"/>
        <w:right w:val="none" w:sz="0" w:space="0" w:color="auto"/>
      </w:divBdr>
      <w:divsChild>
        <w:div w:id="1965693181">
          <w:marLeft w:val="0"/>
          <w:marRight w:val="0"/>
          <w:marTop w:val="0"/>
          <w:marBottom w:val="0"/>
          <w:divBdr>
            <w:top w:val="none" w:sz="0" w:space="0" w:color="auto"/>
            <w:left w:val="none" w:sz="0" w:space="0" w:color="auto"/>
            <w:bottom w:val="none" w:sz="0" w:space="0" w:color="auto"/>
            <w:right w:val="none" w:sz="0" w:space="0" w:color="auto"/>
          </w:divBdr>
          <w:divsChild>
            <w:div w:id="997852807">
              <w:marLeft w:val="0"/>
              <w:marRight w:val="0"/>
              <w:marTop w:val="0"/>
              <w:marBottom w:val="0"/>
              <w:divBdr>
                <w:top w:val="none" w:sz="0" w:space="0" w:color="auto"/>
                <w:left w:val="none" w:sz="0" w:space="0" w:color="auto"/>
                <w:bottom w:val="none" w:sz="0" w:space="0" w:color="auto"/>
                <w:right w:val="none" w:sz="0" w:space="0" w:color="auto"/>
              </w:divBdr>
              <w:divsChild>
                <w:div w:id="306322192">
                  <w:marLeft w:val="0"/>
                  <w:marRight w:val="0"/>
                  <w:marTop w:val="0"/>
                  <w:marBottom w:val="0"/>
                  <w:divBdr>
                    <w:top w:val="none" w:sz="0" w:space="0" w:color="auto"/>
                    <w:left w:val="none" w:sz="0" w:space="0" w:color="auto"/>
                    <w:bottom w:val="none" w:sz="0" w:space="0" w:color="auto"/>
                    <w:right w:val="none" w:sz="0" w:space="0" w:color="auto"/>
                  </w:divBdr>
                  <w:divsChild>
                    <w:div w:id="847140343">
                      <w:marLeft w:val="0"/>
                      <w:marRight w:val="0"/>
                      <w:marTop w:val="0"/>
                      <w:marBottom w:val="0"/>
                      <w:divBdr>
                        <w:top w:val="none" w:sz="0" w:space="0" w:color="auto"/>
                        <w:left w:val="none" w:sz="0" w:space="0" w:color="auto"/>
                        <w:bottom w:val="none" w:sz="0" w:space="0" w:color="auto"/>
                        <w:right w:val="none" w:sz="0" w:space="0" w:color="auto"/>
                      </w:divBdr>
                      <w:divsChild>
                        <w:div w:id="2028367467">
                          <w:marLeft w:val="0"/>
                          <w:marRight w:val="0"/>
                          <w:marTop w:val="0"/>
                          <w:marBottom w:val="0"/>
                          <w:divBdr>
                            <w:top w:val="none" w:sz="0" w:space="0" w:color="auto"/>
                            <w:left w:val="none" w:sz="0" w:space="0" w:color="auto"/>
                            <w:bottom w:val="none" w:sz="0" w:space="0" w:color="auto"/>
                            <w:right w:val="none" w:sz="0" w:space="0" w:color="auto"/>
                          </w:divBdr>
                          <w:divsChild>
                            <w:div w:id="161894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Phelps, Amy</dc:creator>
  <cp:lastModifiedBy>Tony Zertuche</cp:lastModifiedBy>
  <cp:revision>2</cp:revision>
  <dcterms:created xsi:type="dcterms:W3CDTF">2016-04-27T00:39:00Z</dcterms:created>
  <dcterms:modified xsi:type="dcterms:W3CDTF">2016-04-27T00:39:00Z</dcterms:modified>
</cp:coreProperties>
</file>